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FCF" w:rsidRPr="00C73FCF" w:rsidRDefault="00C73FCF" w:rsidP="00C73FCF">
      <w:pPr>
        <w:widowControl/>
        <w:shd w:val="clear" w:color="auto" w:fill="FFFFFF"/>
        <w:spacing w:before="100" w:beforeAutospacing="1" w:after="100" w:afterAutospacing="1"/>
        <w:jc w:val="center"/>
        <w:outlineLvl w:val="1"/>
        <w:rPr>
          <w:rFonts w:ascii="微软雅黑" w:eastAsia="微软雅黑" w:hAnsi="微软雅黑" w:cs="宋体"/>
          <w:b/>
          <w:bCs/>
          <w:color w:val="4B4B4B"/>
          <w:kern w:val="36"/>
          <w:sz w:val="30"/>
          <w:szCs w:val="30"/>
        </w:rPr>
      </w:pPr>
      <w:r w:rsidRPr="00C73FCF">
        <w:rPr>
          <w:rFonts w:ascii="微软雅黑" w:eastAsia="微软雅黑" w:hAnsi="微软雅黑" w:cs="宋体" w:hint="eastAsia"/>
          <w:b/>
          <w:bCs/>
          <w:color w:val="4B4B4B"/>
          <w:kern w:val="36"/>
          <w:sz w:val="30"/>
          <w:szCs w:val="30"/>
        </w:rPr>
        <w:t>教育部关于印发《高等学校科学研究优秀成果奖</w:t>
      </w:r>
      <w:r w:rsidRPr="00C73FCF">
        <w:rPr>
          <w:rFonts w:ascii="微软雅黑" w:eastAsia="微软雅黑" w:hAnsi="微软雅黑" w:cs="宋体" w:hint="eastAsia"/>
          <w:b/>
          <w:bCs/>
          <w:color w:val="4B4B4B"/>
          <w:kern w:val="36"/>
          <w:sz w:val="30"/>
          <w:szCs w:val="30"/>
        </w:rPr>
        <w:br/>
        <w:t>（科学技术）奖励办法》的通知</w:t>
      </w:r>
    </w:p>
    <w:p w:rsidR="00C73FCF" w:rsidRPr="00C73FCF" w:rsidRDefault="00C73FCF" w:rsidP="00C73FCF">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proofErr w:type="gramStart"/>
      <w:r w:rsidRPr="00C73FCF">
        <w:rPr>
          <w:rFonts w:ascii="微软雅黑" w:eastAsia="微软雅黑" w:hAnsi="微软雅黑" w:cs="宋体" w:hint="eastAsia"/>
          <w:color w:val="4B4B4B"/>
          <w:kern w:val="0"/>
          <w:sz w:val="24"/>
          <w:szCs w:val="24"/>
        </w:rPr>
        <w:t>教技〔2019〕</w:t>
      </w:r>
      <w:proofErr w:type="gramEnd"/>
      <w:r w:rsidRPr="00C73FCF">
        <w:rPr>
          <w:rFonts w:ascii="微软雅黑" w:eastAsia="微软雅黑" w:hAnsi="微软雅黑" w:cs="宋体" w:hint="eastAsia"/>
          <w:color w:val="4B4B4B"/>
          <w:kern w:val="0"/>
          <w:sz w:val="24"/>
          <w:szCs w:val="24"/>
        </w:rPr>
        <w:t>3号</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各省、自治区、直辖市教育厅（教委），新疆生产建设兵团教育局，有关部门（单位）教育司（局），部属各高等学校、部省合建各高等学校：</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为深入学习贯彻习近平新时代中国特色社会主义思想和党的十九大精神，大力实施科教兴国战略、人才强国战略和创新驱动发展战略，促进高等学校科技创新，支撑高质量人才培养，我部对2015年2月印发的《高等学校科学研究优秀成果奖（科学技术）奖励办法》进行了修订。</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现将修订后的《高等学校科学研究优秀成果奖（科学技术）奖励办法》印发给你们，请遵照执行。</w:t>
      </w:r>
    </w:p>
    <w:p w:rsidR="00C73FCF" w:rsidRPr="00C73FCF" w:rsidRDefault="00C73FCF" w:rsidP="00C73FCF">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教育部</w:t>
      </w:r>
    </w:p>
    <w:p w:rsidR="00C73FCF" w:rsidRPr="00C73FCF" w:rsidRDefault="00C73FCF" w:rsidP="00C73FCF">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2019年11月7日</w:t>
      </w:r>
    </w:p>
    <w:p w:rsidR="00C73FCF" w:rsidRPr="00C73FCF" w:rsidRDefault="00C73FCF" w:rsidP="00C73FCF">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b/>
          <w:bCs/>
          <w:color w:val="4B4B4B"/>
          <w:kern w:val="0"/>
          <w:sz w:val="24"/>
          <w:szCs w:val="24"/>
        </w:rPr>
        <w:t xml:space="preserve">高等学校科学研究优秀成果奖 </w:t>
      </w:r>
    </w:p>
    <w:p w:rsidR="00C73FCF" w:rsidRPr="00C73FCF" w:rsidRDefault="00C73FCF" w:rsidP="00C73FCF">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b/>
          <w:bCs/>
          <w:color w:val="4B4B4B"/>
          <w:kern w:val="0"/>
          <w:sz w:val="24"/>
          <w:szCs w:val="24"/>
        </w:rPr>
        <w:t>（科学技术）奖励办法</w:t>
      </w:r>
    </w:p>
    <w:p w:rsidR="00C73FCF" w:rsidRPr="00C73FCF" w:rsidRDefault="00C73FCF" w:rsidP="00C73FCF">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b/>
          <w:bCs/>
          <w:color w:val="4B4B4B"/>
          <w:kern w:val="0"/>
          <w:sz w:val="24"/>
          <w:szCs w:val="24"/>
        </w:rPr>
        <w:t>第一章 总 则</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第一条 为鼓励高等学校教师和科技工作者围绕国家战略需求、经济社会发展需要与世界科技前沿开展科技创新和成果转化，推动高等学校创新人才培养，</w:t>
      </w:r>
      <w:r w:rsidRPr="00C73FCF">
        <w:rPr>
          <w:rFonts w:ascii="微软雅黑" w:eastAsia="微软雅黑" w:hAnsi="微软雅黑" w:cs="宋体" w:hint="eastAsia"/>
          <w:color w:val="4B4B4B"/>
          <w:kern w:val="0"/>
          <w:sz w:val="24"/>
          <w:szCs w:val="24"/>
        </w:rPr>
        <w:lastRenderedPageBreak/>
        <w:t>根据《国家科学技术奖励条例》，结合高等学校实际情况，教育部设立高等学校科学研究优秀成果奖（科学技术）。 </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第二条 高等学校科学研究优秀成果奖（科学技术）奖励在开展科技创新、成果转化并在创新人才培养中</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突出贡献的高等学校教师、科技工作者和相关单位。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第三条 高等学校科学研究优秀成果奖（科学技术）设立下列奖项：</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（一）自然科学奖；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（二）技术发明奖；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（三）科学技术进步奖；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（四）青年科学奖。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第四条 高等学校科学研究优秀成果奖（科学技术）评审工作遵循公开、公平、公正原则，实行科学的评审制度，不受任何组织或者个人的非法干涉。</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第五条 高等学校科学研究优秀成果奖（科学技术）实行提名制，每年提名、评审一次。</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第六条 教育部设立高等学校科学研究优秀成果奖（科学技术）工作办公室（以下简称奖励工作办公室），负责奖励管理、评审组织等工作。奖励工作办公室设在教育部科学技术司。</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lastRenderedPageBreak/>
        <w:t xml:space="preserve">　　第七条 奖励工作办公室根据每年提名项目的学科分布等具体情况，聘请相关学科领域学术造诣高、学风端正的专家组成高等学校科学研究优秀成果奖（科学技术）评审委员会（以下简称评审委员会）。</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评审委员会主要职责：</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（一）对高等学校科学研究优秀成果奖（科学技术）候选项目和候选人进行评审，提出一等奖、二等奖候选项目和青年科学奖候选人建议；</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（二）根据一等奖候选项目成果水平，提出特等奖候选项目建议；</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（三）对评审工作中出现的有关问题进行处理。</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第八条 教育部设立高等学校科学研究优秀成果奖（科学技术）奖励委员会（以下简称奖励委员会），委员由相关领域、行业及部门专家担任。奖励委员会委员实行任期聘任制，每届20—30人，任期3年，任期届满进行换届，每次换届人数不低于总人数的1/3，原则上不得连任3届以上。</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奖励委员会主要职责：</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（一）审定评审委员会提出的特等奖候选项目和青年科学奖候选人建议；</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（二）审定评审委员会提出的一等奖、二等奖候选项目建议；</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（三）对奖励工作提供政策性意见和建议。</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奖励委员会的审定结果报教育部批准。</w:t>
      </w:r>
    </w:p>
    <w:p w:rsidR="00C73FCF" w:rsidRPr="00C73FCF" w:rsidRDefault="00C73FCF" w:rsidP="00C73FCF">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b/>
          <w:bCs/>
          <w:color w:val="4B4B4B"/>
          <w:kern w:val="0"/>
          <w:sz w:val="24"/>
          <w:szCs w:val="24"/>
        </w:rPr>
        <w:lastRenderedPageBreak/>
        <w:t>第二章 评定条件</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第九条 高等学校科学研究优秀成果奖（科学技术）候选项目第一完成单位应为国内高校。青年科学奖候选人应为长期在国内高校工作的青年教师。</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第十条 自然科学奖授予在基础研究和应用基础研究中</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重要科学发现的个人和单位。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重要科学发现应同时具备下列条件：</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（一）前人尚未发现或者尚未阐明。指该项自然科学发现为国内外首次提出，或者其科学理论在国内外首次阐明，且主要论著为国内外首次发表。</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具有重大科学价值。指在学术上处于国际同类研究领先或者先进水平，并在科学理论、学说上有创见，在研究方法、手段上有创新，以及在基础数据的收集和综合分析上有创造性和系统性贡献；并对科学技术的发展有重要意义，或者对经济建设和社会发展具有重要影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得到国内外科学界公认。指主要论著已在国内外公开发行的学术刊物上发表或者作为学术专著出版2年以上，其重要科学结论已被国内外同行在重要国际学术会议、公开发行的学术刊物，尤其是重要学术刊物以及学术专著所正面引用或者应用。</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第十一条 自然科学奖的主要完成人必须是该项自然科学发现代表论著的作者，并具备下列条件之一：</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lastRenderedPageBreak/>
        <w:t xml:space="preserve">　　（一）提出总体学术思想、研究方案；</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（二）发现重要科学现象、特性和规律，并阐明科学理论和学说；</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（三）提出研究方法和手段，解决关键性学术疑难问题或者实验技术难点，以及对重要基础数据进行系统收集和综合分析等。</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第十二条 自然科学奖的主要完成单位是指在该项自然科学发现的研究过程中，提供技术、经费或设备等条件，对该项自然科学发现的研究起到重要作用的单位，一般为主要完成人在完成该项自然科学发现时的所在单位。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第十三条 技术发明奖授予在运用科学技术知识做出产品、工艺、材料及其系统等重要技术发明的个人和单位。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重要技术发明应同时具备下列条件：</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（一）前人尚未发明或尚未公开。指该项技术发明为国内外首创，或者虽然国内外已有但主要技术内容尚未在国内外公开出版物、媒体及各种公众信息渠道上发表或者公开，也未曾公开使用。</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（二）具有先进性和创造性。指该项技术发明与国内外已有同类技术相比较，其技术构思有实质性显著的进步，主要性能（性状）、技术经济指标、科学技术水平</w:t>
      </w:r>
      <w:proofErr w:type="gramStart"/>
      <w:r w:rsidRPr="00C73FCF">
        <w:rPr>
          <w:rFonts w:ascii="微软雅黑" w:eastAsia="微软雅黑" w:hAnsi="微软雅黑" w:cs="宋体" w:hint="eastAsia"/>
          <w:color w:val="4B4B4B"/>
          <w:kern w:val="0"/>
          <w:sz w:val="24"/>
          <w:szCs w:val="24"/>
        </w:rPr>
        <w:t>及其促进</w:t>
      </w:r>
      <w:proofErr w:type="gramEnd"/>
      <w:r w:rsidRPr="00C73FCF">
        <w:rPr>
          <w:rFonts w:ascii="微软雅黑" w:eastAsia="微软雅黑" w:hAnsi="微软雅黑" w:cs="宋体" w:hint="eastAsia"/>
          <w:color w:val="4B4B4B"/>
          <w:kern w:val="0"/>
          <w:sz w:val="24"/>
          <w:szCs w:val="24"/>
        </w:rPr>
        <w:t>科学技术进步的作用和意义等方面综合优于同类技术。</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（三）经实施，创造显著经济效益或社会效益，或具有明显的应用前景。指该项技术发明成熟，并实施应用2年以上，取得良好效果。直接关系到人身和社</w:t>
      </w:r>
      <w:r w:rsidRPr="00C73FCF">
        <w:rPr>
          <w:rFonts w:ascii="微软雅黑" w:eastAsia="微软雅黑" w:hAnsi="微软雅黑" w:cs="宋体" w:hint="eastAsia"/>
          <w:color w:val="4B4B4B"/>
          <w:kern w:val="0"/>
          <w:sz w:val="24"/>
          <w:szCs w:val="24"/>
        </w:rPr>
        <w:lastRenderedPageBreak/>
        <w:t>会安全的技术发明成果，如动植物新品种、药品、食品、基因工程技术等，在获得行政机关审批之后方可提名。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第十四条 技术发明奖的主要完成人应当具备下列条件之一：</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（一）在完成该项技术发明过程中</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重要贡献，是全部或部分创造性技术内容的独立完成人；</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（二）在实施该项技术发明中</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重要贡献。</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第十五条 技术发明奖的主要完成单位是指对该项技术发明的完成起重要作用或实施该发明技术的单位，一般为主要完成人完成该项技术发明时所在的单位。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第十六条 科学技术进步奖授予在推广应用先进科学技术成果、完成重要科学技术工程计划项目等方面</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创造性贡献，或在推进国防现代化建设、保障国家安全方面</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重大科学技术贡献的个人和单位。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科学技术进步奖的成果应同时具备下列条件：</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技术创新性突出，技术经济指标先进。在技术上有创新，特别是在高新技术领域进行自主创新，形成了产业的主导技术和成熟产品，或者应用高新技术对传统产业进行装备和改造，通过技术创新，提升传统产业，增加行业的技术含量；技术难度较大，解决了行业发展中的热点、难点和关键问题；总体技术水平和主要技术经济指标达到了行业领先水平。</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lastRenderedPageBreak/>
        <w:t xml:space="preserve">　　（二）经转化，经济效益或者社会效益显著。所开发的成果经过2年以上的实施应用，产生了明显的经济效益或者社会效益，实现了技术创新的市场价值或者社会价值，为经济建设、社会发展和国家安全</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了很大贡献。</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推动行业科技进步作用明显。成果的转化程度高，具有较强的示范、带动和扩散能力，提高了行业技术水平、竞争能力和系统创新能力，促进了产业结构的调整、优化、升级及产品的更新换代，对行业的发展具有很大作用。</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第十七条 科学技术进步奖的主要完成人应当具备下列条件之一：</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（一）在提出和确定项目的总体技术方案中</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重要贡献；</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（二）在关键技术和疑难问题的解决中</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重要贡献；</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（三）在成果转化和应用推广过程中</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重要贡献；</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（四）在高新技术产业化的技术实施过程中</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重要贡献。</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第十八条 科学技术进步奖的主要完成单位是指在项目研制、开发、投产应用和推广过程中提供技术、设备和人员等条件，对成果的完成起到重要作用的单位，一般为主要完成人完成该成果时所在的单位。行政管理部门一般不得作为主要完成单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第十九条 青年科学奖授予已经取得突出原创性学术成果、具有赶超或保持国际先进水平能力的青年学者。青年科学奖候选人应同时符合下列条件：</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lastRenderedPageBreak/>
        <w:t xml:space="preserve">　　（一）为在校青年教师，在国内高校连续工作3年以上，被提名当年未满40周岁（至1月1日）；</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（二）长期从事科技创新，并取得了有较大影响的原创性成果；</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（三）具备勇于创新的科学精神、良好的科学道德、扎实的学术素养和高尚的师德风尚；</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（四）潜心研究工作，积极开展人才培养，具有独立开展研究的能力与较强的科研发展潜力。</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第二十条 高等学校科学研究优秀成果奖（科学技术）坚持科技贡献为科技成果评价的主要依据，同时充分考虑科技成果在提高人才培养和教学质量，以及科学普及、师德风尚等方面所发挥的作用。在科技成果水平基本一致的情况下，对同时在教书育人或科学普及方面也</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贡献的教师和科技工作者取得的成果给予优先奖励。</w:t>
      </w:r>
    </w:p>
    <w:p w:rsidR="00C73FCF" w:rsidRPr="00C73FCF" w:rsidRDefault="00C73FCF" w:rsidP="00C73FCF">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b/>
          <w:bCs/>
          <w:color w:val="4B4B4B"/>
          <w:kern w:val="0"/>
          <w:sz w:val="24"/>
          <w:szCs w:val="24"/>
        </w:rPr>
        <w:t>第三章提名、评审和授予</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第二十一条 高等学校科学研究优秀成果奖（科学技术）实行定标定额。自然科学奖、技术发明奖、科学技术进步奖设一等奖、二等奖，对于特别优秀的成果可授予特等奖。青年科学奖不设等级。高等学校科学研究优秀成果奖（科学技术）每年奖励总数不超过310项。</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lastRenderedPageBreak/>
        <w:t xml:space="preserve">　　第二十二条 高等学校科学研究优秀成果奖（科学技术）自然科学奖、技术发明奖、科学技术进步奖候选项目由相关单位或专家按以下程序向奖励工作办公室提名：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（一）中央部委所属高等学校的各类成果，可由学校直接提名；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（二）地方高等学校的各类成果，可由省、自治区、直辖市教育厅（教委）提名；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（三）三名及以上中国科学院院士、中国工程院院士可联合提名。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第二十三条 青年科学奖候选人由以下单位或专家向奖励工作办公室提名：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（一）教育部科学技术委员会各学部；</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（二）中国科协所属的有关全国学会；</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（三）有关高等学校校长；</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（四）中国科学院院士、中国工程院院士（三名及以上联合提名）。</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第二十四条 候选项目有下列情形之一的，不得提名高等学校科学研究优秀成果奖（科学技术）：</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（一）相关成果已获得或正在申报国家级、省部级科学技术奖的；</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（二）相关成果在知识产权归属以及完成单位、完成人署名等方面存在争议，尚未解决的；</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lastRenderedPageBreak/>
        <w:t xml:space="preserve">　　（三）相关技术内容依照有关法律、法规规定必须取得有关许可证，或直接关系到人身和社会安全、公共利益的项目，尚未获得行政主管部门批准的；</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（四）相关成果经评审未授奖且无实质性进展的。</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第二十五条 高等学校科学研究优秀成果奖（科学技术）获奖项目完成人，获奖后须间隔一定年份后方可作为提名项目的完成人，同一人同</w:t>
      </w:r>
      <w:proofErr w:type="gramStart"/>
      <w:r w:rsidRPr="00C73FCF">
        <w:rPr>
          <w:rFonts w:ascii="微软雅黑" w:eastAsia="微软雅黑" w:hAnsi="微软雅黑" w:cs="宋体" w:hint="eastAsia"/>
          <w:color w:val="4B4B4B"/>
          <w:kern w:val="0"/>
          <w:sz w:val="24"/>
          <w:szCs w:val="24"/>
        </w:rPr>
        <w:t>一</w:t>
      </w:r>
      <w:proofErr w:type="gramEnd"/>
      <w:r w:rsidRPr="00C73FCF">
        <w:rPr>
          <w:rFonts w:ascii="微软雅黑" w:eastAsia="微软雅黑" w:hAnsi="微软雅黑" w:cs="宋体" w:hint="eastAsia"/>
          <w:color w:val="4B4B4B"/>
          <w:kern w:val="0"/>
          <w:sz w:val="24"/>
          <w:szCs w:val="24"/>
        </w:rPr>
        <w:t>年度只能作为一个候选项目的完成人。</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第二十六条 提名单位或专家应按规定的统一格式填写候选项目或候选人提名书，并提供真实、准确的证明材料，报送奖励工作办公室。</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第二十七条 奖励工作办公室负责对提名书及相关材料进行形式审查。</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第二十八条 评审委员会对候选项目和候选人进行评审，并根据评审结果向奖励委员会提出授奖建议。</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第二十九条 奖励委员会对评审委员会的授奖建议进行审定，</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授奖决议。</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第三十条 奖励委员会</w:t>
      </w:r>
      <w:proofErr w:type="gramStart"/>
      <w:r w:rsidRPr="00C73FCF">
        <w:rPr>
          <w:rFonts w:ascii="微软雅黑" w:eastAsia="微软雅黑" w:hAnsi="微软雅黑" w:cs="宋体" w:hint="eastAsia"/>
          <w:color w:val="4B4B4B"/>
          <w:kern w:val="0"/>
          <w:sz w:val="24"/>
          <w:szCs w:val="24"/>
        </w:rPr>
        <w:t>作出</w:t>
      </w:r>
      <w:proofErr w:type="gramEnd"/>
      <w:r w:rsidRPr="00C73FCF">
        <w:rPr>
          <w:rFonts w:ascii="微软雅黑" w:eastAsia="微软雅黑" w:hAnsi="微软雅黑" w:cs="宋体" w:hint="eastAsia"/>
          <w:color w:val="4B4B4B"/>
          <w:kern w:val="0"/>
          <w:sz w:val="24"/>
          <w:szCs w:val="24"/>
        </w:rPr>
        <w:t>的授奖决议报教育部批准。教育部对获奖个人和单位授奖，并颁发证书。</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第三十一条 高等学校科学研究优秀成果奖（科学技术）提名和评审的规则、程序和结果等信息按程序向社会公布，接受社会监督。</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涉及国防、国家安全方面的成果，应当严格遵守国家保密法律法规的有关规定，加强保密管理，在适当范围内公布。</w:t>
      </w:r>
    </w:p>
    <w:p w:rsidR="00C73FCF" w:rsidRPr="00C73FCF" w:rsidRDefault="00C73FCF" w:rsidP="00C73FCF">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b/>
          <w:bCs/>
          <w:color w:val="4B4B4B"/>
          <w:kern w:val="0"/>
          <w:sz w:val="24"/>
          <w:szCs w:val="24"/>
        </w:rPr>
        <w:lastRenderedPageBreak/>
        <w:t xml:space="preserve">第四章 评定标准 </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第三十二条 自然科学奖的评定标准如下：</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在科学上取得突破性进展，发现的科学现象、揭示的科学规律、提出的学术观点或研究方法为国内外学术界所公认和广泛引用，推动了本学科或其分支学科或相关学科的发展，或者对经济建设、社会发展有重大影响的，可评为一等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在科学上取得重要进展，发现的科学现象、揭示的科学规律、提出的学术观点或研究方法为国内外学术界所公认和引用，推动了本学科或者其分支学科的发展，或者对经济建设、社会发展有较大影响的，可评为二等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（三）对于原始性创新特别突出、具有特别重大科学价值、在国际相关学术领域中具有引领作用、在国内外具有重大影响的特别重大的科学发现，可评为特等奖。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第三十三条 技术发明奖的评定标准如下：</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属国内外首创的重要技术发明，技术思路独特，技术上有很大的创新，技术经济指标达到了国际同类技术的领先水平，推动了相关领域的技术进步，已产生显著的经济效益或者社会效益或具有显著的应用前景，可评为一等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（二）属国内外首创，或者国内外已有但尚未公开的主要技术发明，技术思路新颖，技术上有较大的创新，技术经济指标达到了国际同类技术的先进水平，</w:t>
      </w:r>
      <w:r w:rsidRPr="00C73FCF">
        <w:rPr>
          <w:rFonts w:ascii="微软雅黑" w:eastAsia="微软雅黑" w:hAnsi="微软雅黑" w:cs="宋体" w:hint="eastAsia"/>
          <w:color w:val="4B4B4B"/>
          <w:kern w:val="0"/>
          <w:sz w:val="24"/>
          <w:szCs w:val="24"/>
        </w:rPr>
        <w:lastRenderedPageBreak/>
        <w:t>对本领域的技术进步有推动作用，并产生了明显的经济效益、社会效益或具有明显的应用前景，可评为二等奖；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（三）对原始性创新特别突出、主要技术经济指标显著优于国内外同类技术或者产品，并取得重大经济或者社会效益的特别重大的技术发明，可评为特等奖。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第三十四条 科学技术进步奖从技术开发、社会公益、国家安全三个方面制定评定标准，分别为：</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技术开发：在关键技术和系统集成上有重要创新，技术难度大，总体技术水平和主要技术经济指标达到了国际同类技术的先进水平，市场竞争力强，成果转化程度高，取得了显著的经济效益，对行业的技术进步和产业结构优化升级有很大作用的，可评为一等奖；在关键技术和系统集成上有较大创新，技术难度较大，总体技术水平和主要技术经济指标达到了国内同类技术的领先水平，并接近国际同类技术的先进水平，市场竞争力较强，成果转化程度较高，取得了明显的经济效益，对行业的技术进步和产业结构调整有较大意义的，可评为二等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社会公益：在关键技术和系统集成上有重要创新，技术难度大，总体技术水平和主要技术指标达到了国际同类技术的先进水平，并在行业得到广泛应用，取得了显著的社会效益，对科技发展和社会进步有很大意义的，可评为一等奖；在关键技术和系统集成上有较大创新，技术难度较大，总体技术水平和主要技术指标达到了国内同类技术的领先水平，并接近国际同类技术的先进水平，在行业较大范围应用，取得了明显的社会效益，对科技发展和社会进步有较大意义的，可评为二等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lastRenderedPageBreak/>
        <w:t xml:space="preserve">　　（三）国家安全：在关键技术和系统集成上有重要创新，技术难度大，总体技术达到国际同类技术的先进水平，应用效果突出，对国防建设和保障国家安全具有很大作用的，可评为一等奖；在关键技术和系统集成上有较大创新，技术难度较大，总体技术达到国内同类技术的领先水平，并接近国际同类技术的先进水平，应用效果突出，对国防建设和保障国家安全有较大作用的，可评为二等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对于技术创新性特别突出、经济效益或者社会效益特别显著、推动行业科技进步特别明显的项目，可评为特等奖。</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第三十五条 青年科学奖的评定标准如下：</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（一）致力于科技前沿，独立开展研究工作，创新能力强，学风严谨，作风扎实；</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（二）取得重大原创性成果，产生了显著的国际学术影响，推动经济社会发展，在国内同领域同龄人中学术水平居于前列；</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（三）学术思想活跃，具有很好的学术发展前景；</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（四）坚持立德树人，积极开展人才培养，并取得显著成绩。</w:t>
      </w:r>
    </w:p>
    <w:p w:rsidR="00C73FCF" w:rsidRPr="00C73FCF" w:rsidRDefault="00C73FCF" w:rsidP="00C73FCF">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b/>
          <w:bCs/>
          <w:color w:val="4B4B4B"/>
          <w:kern w:val="0"/>
          <w:sz w:val="24"/>
          <w:szCs w:val="24"/>
        </w:rPr>
        <w:t>第五章 异议处理</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第三十六条 高等学校科学研究优秀成果奖（科学技术）接受社会监督，实行异议处理制度。任何单位或个人对公示的候选项目和候选人如有异议，在规定的公示期内可向异议受理部门书面提出。逾期提出的异议原则上不予受理。</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lastRenderedPageBreak/>
        <w:t xml:space="preserve">　　第三十七条 提名项目正式报送奖励工作办公室前提出的异议，由提名单位或专家处理。提名项目通过形式审查后提出的异议，由奖励工作办公室会同有关提名单位或者提名专家共同处理。涉及国家安全成果的异议，由奖励工作办公室会同有关部门处理。</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第三十八条 涉及异议的任何一方应当积极配合异议处理单位和人员对异议进行处理，不得推诿或延误。</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第三十九条 参加处理异议问题的单位和人员，应当依法依规、客观公正，并严守秘密。</w:t>
      </w:r>
    </w:p>
    <w:p w:rsidR="00C73FCF" w:rsidRPr="00C73FCF" w:rsidRDefault="00C73FCF" w:rsidP="00C73FCF">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b/>
          <w:bCs/>
          <w:color w:val="4B4B4B"/>
          <w:kern w:val="0"/>
          <w:sz w:val="24"/>
          <w:szCs w:val="24"/>
        </w:rPr>
        <w:t xml:space="preserve">第六章 罚则 </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第四十条 获奖者剽窃、侵夺他人的发现、发明或者其他科学技术成果的，或者以其他不正当手段骗取高等学校科学研究优秀成果奖（科学技术）的，由教育部撤销其奖励、追回证书等，并责成所在单位依法依规给</w:t>
      </w:r>
      <w:proofErr w:type="gramStart"/>
      <w:r w:rsidRPr="00C73FCF">
        <w:rPr>
          <w:rFonts w:ascii="微软雅黑" w:eastAsia="微软雅黑" w:hAnsi="微软雅黑" w:cs="宋体" w:hint="eastAsia"/>
          <w:color w:val="4B4B4B"/>
          <w:kern w:val="0"/>
          <w:sz w:val="24"/>
          <w:szCs w:val="24"/>
        </w:rPr>
        <w:t>予处理</w:t>
      </w:r>
      <w:proofErr w:type="gramEnd"/>
      <w:r w:rsidRPr="00C73FCF">
        <w:rPr>
          <w:rFonts w:ascii="微软雅黑" w:eastAsia="微软雅黑" w:hAnsi="微软雅黑" w:cs="宋体" w:hint="eastAsia"/>
          <w:color w:val="4B4B4B"/>
          <w:kern w:val="0"/>
          <w:sz w:val="24"/>
          <w:szCs w:val="24"/>
        </w:rPr>
        <w:t>。</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第四十一条 提名单位或专家提供虚假数据、材料，协助他人骗取高等学校科学研究优秀成果奖（科学技术）的，教育部视情节轻重予以公开通报、暂停或者取消提名资格等处理，并记录不良信誉，责成所在单位依法依规给</w:t>
      </w:r>
      <w:proofErr w:type="gramStart"/>
      <w:r w:rsidRPr="00C73FCF">
        <w:rPr>
          <w:rFonts w:ascii="微软雅黑" w:eastAsia="微软雅黑" w:hAnsi="微软雅黑" w:cs="宋体" w:hint="eastAsia"/>
          <w:color w:val="4B4B4B"/>
          <w:kern w:val="0"/>
          <w:sz w:val="24"/>
          <w:szCs w:val="24"/>
        </w:rPr>
        <w:t>予处理</w:t>
      </w:r>
      <w:proofErr w:type="gramEnd"/>
      <w:r w:rsidRPr="00C73FCF">
        <w:rPr>
          <w:rFonts w:ascii="微软雅黑" w:eastAsia="微软雅黑" w:hAnsi="微软雅黑" w:cs="宋体" w:hint="eastAsia"/>
          <w:color w:val="4B4B4B"/>
          <w:kern w:val="0"/>
          <w:sz w:val="24"/>
          <w:szCs w:val="24"/>
        </w:rPr>
        <w:t>。</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第四十二条 评审专家存在违反学术道德和评审纪律等行为的，按照有关规定给予内部或公开通报、暂停或者取消评审专家资格等处理，并记录不良信誉。情节严重的，责成所在单位依法依规给</w:t>
      </w:r>
      <w:proofErr w:type="gramStart"/>
      <w:r w:rsidRPr="00C73FCF">
        <w:rPr>
          <w:rFonts w:ascii="微软雅黑" w:eastAsia="微软雅黑" w:hAnsi="微软雅黑" w:cs="宋体" w:hint="eastAsia"/>
          <w:color w:val="4B4B4B"/>
          <w:kern w:val="0"/>
          <w:sz w:val="24"/>
          <w:szCs w:val="24"/>
        </w:rPr>
        <w:t>予处理</w:t>
      </w:r>
      <w:proofErr w:type="gramEnd"/>
      <w:r w:rsidRPr="00C73FCF">
        <w:rPr>
          <w:rFonts w:ascii="微软雅黑" w:eastAsia="微软雅黑" w:hAnsi="微软雅黑" w:cs="宋体" w:hint="eastAsia"/>
          <w:color w:val="4B4B4B"/>
          <w:kern w:val="0"/>
          <w:sz w:val="24"/>
          <w:szCs w:val="24"/>
        </w:rPr>
        <w:t>。</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lastRenderedPageBreak/>
        <w:t xml:space="preserve">　　第四十三条 参与高等学校科学研究优秀成果奖（科学技术）评审组织工作的人员在评审活动中存在违规违纪行为的，责成所在单位依法依规给</w:t>
      </w:r>
      <w:proofErr w:type="gramStart"/>
      <w:r w:rsidRPr="00C73FCF">
        <w:rPr>
          <w:rFonts w:ascii="微软雅黑" w:eastAsia="微软雅黑" w:hAnsi="微软雅黑" w:cs="宋体" w:hint="eastAsia"/>
          <w:color w:val="4B4B4B"/>
          <w:kern w:val="0"/>
          <w:sz w:val="24"/>
          <w:szCs w:val="24"/>
        </w:rPr>
        <w:t>予处理</w:t>
      </w:r>
      <w:proofErr w:type="gramEnd"/>
      <w:r w:rsidRPr="00C73FCF">
        <w:rPr>
          <w:rFonts w:ascii="微软雅黑" w:eastAsia="微软雅黑" w:hAnsi="微软雅黑" w:cs="宋体" w:hint="eastAsia"/>
          <w:color w:val="4B4B4B"/>
          <w:kern w:val="0"/>
          <w:sz w:val="24"/>
          <w:szCs w:val="24"/>
        </w:rPr>
        <w:t>。</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第四十四条 对高等学校科学研究优秀成果奖（科学技术）获奖成果的宣传应当客观、准确，关注科学技术本身，不得以夸大、虚假、模糊宣传误导公众。不得在商业广告中将商品或服务表述为高等学校科学研究优秀成果奖（科学技术）的获奖对象。</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禁止利用高等学校科学研究优秀成果奖（科学技术）提名和评审相关信息，进行各类营销、中介、代理等营利性活动。</w:t>
      </w:r>
    </w:p>
    <w:p w:rsidR="00C73FCF" w:rsidRPr="00C73FCF" w:rsidRDefault="00C73FCF" w:rsidP="00C73FCF">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b/>
          <w:bCs/>
          <w:color w:val="4B4B4B"/>
          <w:kern w:val="0"/>
          <w:sz w:val="24"/>
          <w:szCs w:val="24"/>
        </w:rPr>
        <w:t>第七章 附 则</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第四十五条 本办法由教育部负责解释。</w:t>
      </w:r>
    </w:p>
    <w:p w:rsidR="00C73FCF" w:rsidRPr="00C73FCF" w:rsidRDefault="00C73FCF" w:rsidP="00C73FCF">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C73FCF">
        <w:rPr>
          <w:rFonts w:ascii="微软雅黑" w:eastAsia="微软雅黑" w:hAnsi="微软雅黑" w:cs="宋体" w:hint="eastAsia"/>
          <w:color w:val="4B4B4B"/>
          <w:kern w:val="0"/>
          <w:sz w:val="24"/>
          <w:szCs w:val="24"/>
        </w:rPr>
        <w:t xml:space="preserve">　　第四十六条 本办法自2020年1月1日起施行，2015年2月印发的《高等学校科学研究优秀成果奖（科学技术）奖励办法》（</w:t>
      </w:r>
      <w:proofErr w:type="gramStart"/>
      <w:r w:rsidRPr="00C73FCF">
        <w:rPr>
          <w:rFonts w:ascii="微软雅黑" w:eastAsia="微软雅黑" w:hAnsi="微软雅黑" w:cs="宋体" w:hint="eastAsia"/>
          <w:color w:val="4B4B4B"/>
          <w:kern w:val="0"/>
          <w:sz w:val="24"/>
          <w:szCs w:val="24"/>
        </w:rPr>
        <w:t>教技发</w:t>
      </w:r>
      <w:proofErr w:type="gramEnd"/>
      <w:r w:rsidRPr="00C73FCF">
        <w:rPr>
          <w:rFonts w:ascii="微软雅黑" w:eastAsia="微软雅黑" w:hAnsi="微软雅黑" w:cs="宋体" w:hint="eastAsia"/>
          <w:color w:val="4B4B4B"/>
          <w:kern w:val="0"/>
          <w:sz w:val="24"/>
          <w:szCs w:val="24"/>
        </w:rPr>
        <w:t>〔2015〕1号）同时废止。</w:t>
      </w:r>
    </w:p>
    <w:p w:rsidR="00230F71" w:rsidRPr="00C73FCF" w:rsidRDefault="00230F71" w:rsidP="00C73FCF">
      <w:bookmarkStart w:id="0" w:name="_GoBack"/>
      <w:bookmarkEnd w:id="0"/>
    </w:p>
    <w:sectPr w:rsidR="00230F71" w:rsidRPr="00C73FCF" w:rsidSect="00230F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93DA3"/>
    <w:rsid w:val="00137D27"/>
    <w:rsid w:val="00230F71"/>
    <w:rsid w:val="0025031D"/>
    <w:rsid w:val="00630E84"/>
    <w:rsid w:val="007D4D48"/>
    <w:rsid w:val="008A00FE"/>
    <w:rsid w:val="00C73FCF"/>
    <w:rsid w:val="00C93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F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339211">
      <w:bodyDiv w:val="1"/>
      <w:marLeft w:val="0"/>
      <w:marRight w:val="0"/>
      <w:marTop w:val="0"/>
      <w:marBottom w:val="0"/>
      <w:divBdr>
        <w:top w:val="none" w:sz="0" w:space="0" w:color="auto"/>
        <w:left w:val="none" w:sz="0" w:space="0" w:color="auto"/>
        <w:bottom w:val="none" w:sz="0" w:space="0" w:color="auto"/>
        <w:right w:val="none" w:sz="0" w:space="0" w:color="auto"/>
      </w:divBdr>
      <w:divsChild>
        <w:div w:id="82073031">
          <w:marLeft w:val="0"/>
          <w:marRight w:val="0"/>
          <w:marTop w:val="0"/>
          <w:marBottom w:val="0"/>
          <w:divBdr>
            <w:top w:val="none" w:sz="0" w:space="0" w:color="auto"/>
            <w:left w:val="none" w:sz="0" w:space="0" w:color="auto"/>
            <w:bottom w:val="none" w:sz="0" w:space="0" w:color="auto"/>
            <w:right w:val="none" w:sz="0" w:space="0" w:color="auto"/>
          </w:divBdr>
          <w:divsChild>
            <w:div w:id="1702783304">
              <w:marLeft w:val="0"/>
              <w:marRight w:val="0"/>
              <w:marTop w:val="0"/>
              <w:marBottom w:val="0"/>
              <w:divBdr>
                <w:top w:val="none" w:sz="0" w:space="0" w:color="auto"/>
                <w:left w:val="none" w:sz="0" w:space="0" w:color="auto"/>
                <w:bottom w:val="none" w:sz="0" w:space="0" w:color="auto"/>
                <w:right w:val="none" w:sz="0" w:space="0" w:color="auto"/>
              </w:divBdr>
              <w:divsChild>
                <w:div w:id="871384285">
                  <w:marLeft w:val="0"/>
                  <w:marRight w:val="0"/>
                  <w:marTop w:val="0"/>
                  <w:marBottom w:val="0"/>
                  <w:divBdr>
                    <w:top w:val="single" w:sz="6" w:space="31" w:color="BCBCBC"/>
                    <w:left w:val="single" w:sz="6" w:space="31" w:color="BCBCBC"/>
                    <w:bottom w:val="single" w:sz="6" w:space="15" w:color="BCBCBC"/>
                    <w:right w:val="single" w:sz="6" w:space="31" w:color="BCBCBC"/>
                  </w:divBdr>
                  <w:divsChild>
                    <w:div w:id="196453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128913">
      <w:bodyDiv w:val="1"/>
      <w:marLeft w:val="0"/>
      <w:marRight w:val="0"/>
      <w:marTop w:val="0"/>
      <w:marBottom w:val="0"/>
      <w:divBdr>
        <w:top w:val="none" w:sz="0" w:space="0" w:color="auto"/>
        <w:left w:val="none" w:sz="0" w:space="0" w:color="auto"/>
        <w:bottom w:val="none" w:sz="0" w:space="0" w:color="auto"/>
        <w:right w:val="none" w:sz="0" w:space="0" w:color="auto"/>
      </w:divBdr>
      <w:divsChild>
        <w:div w:id="281621173">
          <w:marLeft w:val="0"/>
          <w:marRight w:val="0"/>
          <w:marTop w:val="0"/>
          <w:marBottom w:val="0"/>
          <w:divBdr>
            <w:top w:val="none" w:sz="0" w:space="0" w:color="auto"/>
            <w:left w:val="none" w:sz="0" w:space="0" w:color="auto"/>
            <w:bottom w:val="none" w:sz="0" w:space="0" w:color="auto"/>
            <w:right w:val="none" w:sz="0" w:space="0" w:color="auto"/>
          </w:divBdr>
          <w:divsChild>
            <w:div w:id="1347248525">
              <w:marLeft w:val="0"/>
              <w:marRight w:val="0"/>
              <w:marTop w:val="0"/>
              <w:marBottom w:val="0"/>
              <w:divBdr>
                <w:top w:val="none" w:sz="0" w:space="0" w:color="auto"/>
                <w:left w:val="none" w:sz="0" w:space="0" w:color="auto"/>
                <w:bottom w:val="none" w:sz="0" w:space="0" w:color="auto"/>
                <w:right w:val="none" w:sz="0" w:space="0" w:color="auto"/>
              </w:divBdr>
              <w:divsChild>
                <w:div w:id="1522553110">
                  <w:marLeft w:val="0"/>
                  <w:marRight w:val="0"/>
                  <w:marTop w:val="0"/>
                  <w:marBottom w:val="0"/>
                  <w:divBdr>
                    <w:top w:val="single" w:sz="6" w:space="31" w:color="BCBCBC"/>
                    <w:left w:val="single" w:sz="6" w:space="31" w:color="BCBCBC"/>
                    <w:bottom w:val="single" w:sz="6" w:space="15" w:color="BCBCBC"/>
                    <w:right w:val="single" w:sz="6" w:space="31" w:color="BCBCBC"/>
                  </w:divBdr>
                  <w:divsChild>
                    <w:div w:id="617764455">
                      <w:marLeft w:val="0"/>
                      <w:marRight w:val="0"/>
                      <w:marTop w:val="0"/>
                      <w:marBottom w:val="0"/>
                      <w:divBdr>
                        <w:top w:val="none" w:sz="0" w:space="0" w:color="auto"/>
                        <w:left w:val="none" w:sz="0" w:space="0" w:color="auto"/>
                        <w:bottom w:val="none" w:sz="0" w:space="0" w:color="auto"/>
                        <w:right w:val="none" w:sz="0" w:space="0" w:color="auto"/>
                      </w:divBdr>
                      <w:divsChild>
                        <w:div w:id="58360913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1082</Words>
  <Characters>6173</Characters>
  <Application>Microsoft Office Word</Application>
  <DocSecurity>0</DocSecurity>
  <Lines>51</Lines>
  <Paragraphs>14</Paragraphs>
  <ScaleCrop>false</ScaleCrop>
  <Company>china</Company>
  <LinksUpToDate>false</LinksUpToDate>
  <CharactersWithSpaces>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2020-05-12T12:31:00Z</dcterms:created>
  <dcterms:modified xsi:type="dcterms:W3CDTF">2020-05-12T12:35:00Z</dcterms:modified>
</cp:coreProperties>
</file>