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hd w:val="clear" w:color="auto" w:fill="FFFFFF"/>
        <w:spacing w:before="0" w:beforeAutospacing="0" w:after="0" w:afterAutospacing="0" w:line="480" w:lineRule="atLeast"/>
        <w:rPr>
          <w:rFonts w:ascii="仿宋" w:hAnsi="仿宋" w:eastAsia="仿宋"/>
          <w:color w:val="000000" w:themeColor="text1"/>
          <w:sz w:val="30"/>
          <w:szCs w:val="30"/>
          <w14:textFill>
            <w14:solidFill>
              <w14:schemeClr w14:val="tx1"/>
            </w14:solidFill>
          </w14:textFill>
        </w:rPr>
      </w:pPr>
    </w:p>
    <w:p>
      <w:pPr>
        <w:widowControl/>
        <w:shd w:val="clear" w:color="auto" w:fill="FFFFFF"/>
        <w:spacing w:line="360" w:lineRule="auto"/>
        <w:jc w:val="center"/>
        <w:outlineLvl w:val="0"/>
        <w:rPr>
          <w:rFonts w:hint="eastAsia" w:ascii="方正小标宋简体" w:hAnsi="微软雅黑" w:eastAsia="方正小标宋简体" w:cs="宋体"/>
          <w:b/>
          <w:bCs/>
          <w:color w:val="000000" w:themeColor="text1"/>
          <w:kern w:val="36"/>
          <w:sz w:val="44"/>
          <w:szCs w:val="44"/>
          <w14:textFill>
            <w14:solidFill>
              <w14:schemeClr w14:val="tx1"/>
            </w14:solidFill>
          </w14:textFill>
        </w:rPr>
      </w:pPr>
      <w:r>
        <w:rPr>
          <w:rFonts w:hint="eastAsia" w:ascii="方正小标宋简体" w:hAnsi="微软雅黑" w:eastAsia="方正小标宋简体" w:cs="宋体"/>
          <w:b/>
          <w:bCs/>
          <w:color w:val="000000" w:themeColor="text1"/>
          <w:kern w:val="36"/>
          <w:sz w:val="44"/>
          <w:szCs w:val="44"/>
          <w:lang w:val="en-US" w:eastAsia="zh-CN"/>
          <w14:textFill>
            <w14:solidFill>
              <w14:schemeClr w14:val="tx1"/>
            </w14:solidFill>
          </w14:textFill>
        </w:rPr>
        <w:t>国家级</w:t>
      </w:r>
      <w:r>
        <w:rPr>
          <w:rFonts w:hint="eastAsia" w:ascii="方正小标宋简体" w:hAnsi="微软雅黑" w:eastAsia="方正小标宋简体" w:cs="宋体"/>
          <w:b/>
          <w:bCs/>
          <w:color w:val="000000" w:themeColor="text1"/>
          <w:kern w:val="36"/>
          <w:sz w:val="44"/>
          <w:szCs w:val="44"/>
          <w14:textFill>
            <w14:solidFill>
              <w14:schemeClr w14:val="tx1"/>
            </w14:solidFill>
          </w14:textFill>
        </w:rPr>
        <w:t>高水平高职学校和专业建设标准</w:t>
      </w:r>
    </w:p>
    <w:p>
      <w:pPr>
        <w:pStyle w:val="3"/>
        <w:shd w:val="clear" w:color="auto" w:fill="FFFFFF"/>
        <w:spacing w:before="0" w:beforeAutospacing="0" w:after="0" w:afterAutospacing="0" w:line="360" w:lineRule="auto"/>
        <w:ind w:firstLine="600" w:firstLineChars="200"/>
        <w:rPr>
          <w:rFonts w:ascii="仿宋" w:hAnsi="仿宋" w:eastAsia="仿宋"/>
          <w:color w:val="000000" w:themeColor="text1"/>
          <w:sz w:val="30"/>
          <w:szCs w:val="30"/>
          <w14:textFill>
            <w14:solidFill>
              <w14:schemeClr w14:val="tx1"/>
            </w14:solidFill>
          </w14:textFill>
        </w:rPr>
      </w:pPr>
    </w:p>
    <w:p>
      <w:pPr>
        <w:pStyle w:val="3"/>
        <w:shd w:val="clear" w:color="auto" w:fill="FFFFFF"/>
        <w:spacing w:before="0" w:beforeAutospacing="0" w:after="0" w:afterAutospacing="0" w:line="360" w:lineRule="auto"/>
        <w:ind w:firstLine="600" w:firstLineChars="200"/>
        <w:rPr>
          <w:rFonts w:ascii="仿宋" w:hAnsi="仿宋" w:eastAsia="仿宋"/>
          <w:color w:val="000000" w:themeColor="text1"/>
          <w:sz w:val="30"/>
          <w:szCs w:val="30"/>
          <w14:textFill>
            <w14:solidFill>
              <w14:schemeClr w14:val="tx1"/>
            </w14:solidFill>
          </w14:textFill>
        </w:rPr>
      </w:pPr>
      <w:r>
        <w:rPr>
          <w:rFonts w:hint="eastAsia" w:ascii="仿宋" w:hAnsi="仿宋" w:eastAsia="仿宋"/>
          <w:color w:val="000000" w:themeColor="text1"/>
          <w:sz w:val="30"/>
          <w:szCs w:val="30"/>
          <w14:textFill>
            <w14:solidFill>
              <w14:schemeClr w14:val="tx1"/>
            </w14:solidFill>
          </w14:textFill>
        </w:rPr>
        <w:t>“双高计划”遴选坚持质量为先、改革导向</w:t>
      </w:r>
      <w:bookmarkStart w:id="0" w:name="_GoBack"/>
      <w:bookmarkEnd w:id="0"/>
      <w:r>
        <w:rPr>
          <w:rFonts w:hint="eastAsia" w:ascii="仿宋" w:hAnsi="仿宋" w:eastAsia="仿宋"/>
          <w:color w:val="000000" w:themeColor="text1"/>
          <w:sz w:val="30"/>
          <w:szCs w:val="30"/>
          <w14:textFill>
            <w14:solidFill>
              <w14:schemeClr w14:val="tx1"/>
            </w14:solidFill>
          </w14:textFill>
        </w:rPr>
        <w:t>、扶优扶强，面向独立设置的专科高职学校（包括社会力量举办的专科高职学校），分高水平学校和高水平专业群两类布局。在高职学校年生均财政拨款水平达到国家统一要求且逐年增长的前提下，对职业教育发展环境好、重点工作推进有力、改革成效明显、“双高计划”政策资金保障力度大的省份予以倾斜支持。</w:t>
      </w:r>
    </w:p>
    <w:p>
      <w:pPr>
        <w:pStyle w:val="3"/>
        <w:shd w:val="clear" w:color="auto" w:fill="FFFFFF"/>
        <w:spacing w:before="0" w:beforeAutospacing="0" w:after="0" w:afterAutospacing="0" w:line="360" w:lineRule="auto"/>
        <w:ind w:firstLine="602" w:firstLineChars="200"/>
        <w:rPr>
          <w:rFonts w:hint="eastAsia" w:ascii="黑体" w:hAnsi="黑体" w:eastAsia="黑体"/>
          <w:b/>
          <w:bCs/>
          <w:color w:val="000000" w:themeColor="text1"/>
          <w:sz w:val="30"/>
          <w:szCs w:val="30"/>
          <w14:textFill>
            <w14:solidFill>
              <w14:schemeClr w14:val="tx1"/>
            </w14:solidFill>
          </w14:textFill>
        </w:rPr>
      </w:pPr>
      <w:r>
        <w:rPr>
          <w:rFonts w:hint="eastAsia" w:ascii="黑体" w:hAnsi="黑体" w:eastAsia="黑体"/>
          <w:b/>
          <w:bCs/>
          <w:color w:val="000000" w:themeColor="text1"/>
          <w:sz w:val="30"/>
          <w:szCs w:val="30"/>
          <w14:textFill>
            <w14:solidFill>
              <w14:schemeClr w14:val="tx1"/>
            </w14:solidFill>
          </w14:textFill>
        </w:rPr>
        <w:t>一、学校须具备的基本条件</w:t>
      </w:r>
    </w:p>
    <w:p>
      <w:pPr>
        <w:pStyle w:val="3"/>
        <w:shd w:val="clear" w:color="auto" w:fill="FFFFFF"/>
        <w:spacing w:before="0" w:beforeAutospacing="0" w:after="0" w:afterAutospacing="0" w:line="360" w:lineRule="auto"/>
        <w:ind w:firstLine="600" w:firstLineChars="200"/>
        <w:rPr>
          <w:rFonts w:hint="eastAsia" w:ascii="仿宋" w:hAnsi="仿宋" w:eastAsia="仿宋"/>
          <w:color w:val="000000" w:themeColor="text1"/>
          <w:sz w:val="30"/>
          <w:szCs w:val="30"/>
          <w14:textFill>
            <w14:solidFill>
              <w14:schemeClr w14:val="tx1"/>
            </w14:solidFill>
          </w14:textFill>
        </w:rPr>
      </w:pPr>
      <w:r>
        <w:rPr>
          <w:rFonts w:hint="eastAsia" w:ascii="仿宋" w:hAnsi="仿宋" w:eastAsia="仿宋"/>
          <w:color w:val="000000" w:themeColor="text1"/>
          <w:sz w:val="30"/>
          <w:szCs w:val="30"/>
          <w14:textFill>
            <w14:solidFill>
              <w14:schemeClr w14:val="tx1"/>
            </w14:solidFill>
          </w14:textFill>
        </w:rPr>
        <w:t>（一）学校办学条件高于专科高职学校设置标准，数字校园基础设施高于《职业院校数字校园建设规范》标准。</w:t>
      </w:r>
    </w:p>
    <w:p>
      <w:pPr>
        <w:pStyle w:val="3"/>
        <w:shd w:val="clear" w:color="auto" w:fill="FFFFFF"/>
        <w:spacing w:before="0" w:beforeAutospacing="0" w:after="0" w:afterAutospacing="0" w:line="360" w:lineRule="auto"/>
        <w:ind w:firstLine="600" w:firstLineChars="200"/>
        <w:rPr>
          <w:rFonts w:hint="eastAsia" w:ascii="仿宋" w:hAnsi="仿宋" w:eastAsia="仿宋"/>
          <w:color w:val="000000" w:themeColor="text1"/>
          <w:sz w:val="30"/>
          <w:szCs w:val="30"/>
          <w14:textFill>
            <w14:solidFill>
              <w14:schemeClr w14:val="tx1"/>
            </w14:solidFill>
          </w14:textFill>
        </w:rPr>
      </w:pPr>
      <w:r>
        <w:rPr>
          <w:rFonts w:hint="eastAsia" w:ascii="仿宋" w:hAnsi="仿宋" w:eastAsia="仿宋"/>
          <w:color w:val="000000" w:themeColor="text1"/>
          <w:sz w:val="30"/>
          <w:szCs w:val="30"/>
          <w14:textFill>
            <w14:solidFill>
              <w14:schemeClr w14:val="tx1"/>
            </w14:solidFill>
          </w14:textFill>
        </w:rPr>
        <w:t>（二）学校人才培养和治理水平高，在产教融合、校企合作方面成效显著，对区域发展贡献度高，已取得以下工作成效：被确定为《高等职业教育创新发展行动计划（2015—2018年）》省级及以上优质高职学校建设单位；已制定学校章程并经省级备案，设有理事会或董事会机构，成立校级学术委员会，内部质量保证体系健全；财务管理规范，内部控制制度健全；牵头组建实体化运行的职业教育集团，合作企业对学校支持投入力度大；成立应用技术协同创新中心、技能大师工作室；非学历培训人日数不低于全日制在校生数；近三年招生计划完成率不低于90%，毕业生半年后就业率不低于95%；配合“走出去”企业开展员工教育培训、有教育部备案的中外合作办学项目或招收学历教育留学生。</w:t>
      </w:r>
    </w:p>
    <w:p>
      <w:pPr>
        <w:pStyle w:val="3"/>
        <w:shd w:val="clear" w:color="auto" w:fill="FFFFFF"/>
        <w:spacing w:before="0" w:beforeAutospacing="0" w:after="0" w:afterAutospacing="0" w:line="360" w:lineRule="auto"/>
        <w:ind w:firstLine="600" w:firstLineChars="200"/>
        <w:rPr>
          <w:rFonts w:hint="eastAsia" w:ascii="仿宋" w:hAnsi="仿宋" w:eastAsia="仿宋"/>
          <w:color w:val="000000" w:themeColor="text1"/>
          <w:sz w:val="30"/>
          <w:szCs w:val="30"/>
          <w14:textFill>
            <w14:solidFill>
              <w14:schemeClr w14:val="tx1"/>
            </w14:solidFill>
          </w14:textFill>
        </w:rPr>
      </w:pPr>
      <w:r>
        <w:rPr>
          <w:rFonts w:hint="eastAsia" w:ascii="仿宋" w:hAnsi="仿宋" w:eastAsia="仿宋"/>
          <w:color w:val="000000" w:themeColor="text1"/>
          <w:sz w:val="30"/>
          <w:szCs w:val="30"/>
          <w14:textFill>
            <w14:solidFill>
              <w14:schemeClr w14:val="tx1"/>
            </w14:solidFill>
          </w14:textFill>
        </w:rPr>
        <w:t>（三）学校坚持职业教育办学定位和方向，干事创业的积极性、主动性、创造性高，教育教学改革、校企合作和专业建设基础好，人才培养质量和师资队伍水平高，学生就业水平高，社会支持度高。</w:t>
      </w:r>
    </w:p>
    <w:p>
      <w:pPr>
        <w:pStyle w:val="3"/>
        <w:shd w:val="clear" w:color="auto" w:fill="FFFFFF"/>
        <w:spacing w:before="0" w:beforeAutospacing="0" w:after="0" w:afterAutospacing="0" w:line="360" w:lineRule="auto"/>
        <w:ind w:firstLine="600" w:firstLineChars="200"/>
        <w:rPr>
          <w:rFonts w:hint="eastAsia" w:ascii="仿宋" w:hAnsi="仿宋" w:eastAsia="仿宋"/>
          <w:color w:val="000000" w:themeColor="text1"/>
          <w:sz w:val="30"/>
          <w:szCs w:val="30"/>
          <w14:textFill>
            <w14:solidFill>
              <w14:schemeClr w14:val="tx1"/>
            </w14:solidFill>
          </w14:textFill>
        </w:rPr>
      </w:pPr>
      <w:r>
        <w:rPr>
          <w:rFonts w:hint="eastAsia" w:ascii="仿宋" w:hAnsi="仿宋" w:eastAsia="仿宋"/>
          <w:color w:val="000000" w:themeColor="text1"/>
          <w:sz w:val="30"/>
          <w:szCs w:val="30"/>
          <w14:textFill>
            <w14:solidFill>
              <w14:schemeClr w14:val="tx1"/>
            </w14:solidFill>
          </w14:textFill>
        </w:rPr>
        <w:t>（四）学校在以下9项标志性成果中有不少于5项：</w:t>
      </w:r>
    </w:p>
    <w:p>
      <w:pPr>
        <w:pStyle w:val="3"/>
        <w:shd w:val="clear" w:color="auto" w:fill="FFFFFF"/>
        <w:spacing w:before="0" w:beforeAutospacing="0" w:after="0" w:afterAutospacing="0" w:line="360" w:lineRule="auto"/>
        <w:ind w:firstLine="600" w:firstLineChars="200"/>
        <w:rPr>
          <w:rFonts w:hint="eastAsia" w:ascii="仿宋" w:hAnsi="仿宋" w:eastAsia="仿宋"/>
          <w:color w:val="000000" w:themeColor="text1"/>
          <w:sz w:val="30"/>
          <w:szCs w:val="30"/>
          <w14:textFill>
            <w14:solidFill>
              <w14:schemeClr w14:val="tx1"/>
            </w14:solidFill>
          </w14:textFill>
        </w:rPr>
      </w:pPr>
      <w:r>
        <w:rPr>
          <w:rFonts w:hint="eastAsia" w:ascii="仿宋" w:hAnsi="仿宋" w:eastAsia="仿宋"/>
          <w:color w:val="000000" w:themeColor="text1"/>
          <w:sz w:val="30"/>
          <w:szCs w:val="30"/>
          <w14:textFill>
            <w14:solidFill>
              <w14:schemeClr w14:val="tx1"/>
            </w14:solidFill>
          </w14:textFill>
        </w:rPr>
        <w:t>1．近两届获得过国家级教学成果奖励（第一完成单位）；</w:t>
      </w:r>
    </w:p>
    <w:p>
      <w:pPr>
        <w:pStyle w:val="3"/>
        <w:shd w:val="clear" w:color="auto" w:fill="FFFFFF"/>
        <w:spacing w:before="0" w:beforeAutospacing="0" w:after="0" w:afterAutospacing="0" w:line="360" w:lineRule="auto"/>
        <w:ind w:firstLine="600" w:firstLineChars="200"/>
        <w:rPr>
          <w:rFonts w:hint="eastAsia" w:ascii="仿宋" w:hAnsi="仿宋" w:eastAsia="仿宋"/>
          <w:color w:val="000000" w:themeColor="text1"/>
          <w:sz w:val="30"/>
          <w:szCs w:val="30"/>
          <w14:textFill>
            <w14:solidFill>
              <w14:schemeClr w14:val="tx1"/>
            </w14:solidFill>
          </w14:textFill>
        </w:rPr>
      </w:pPr>
      <w:r>
        <w:rPr>
          <w:rFonts w:hint="eastAsia" w:ascii="仿宋" w:hAnsi="仿宋" w:eastAsia="仿宋"/>
          <w:color w:val="000000" w:themeColor="text1"/>
          <w:sz w:val="30"/>
          <w:szCs w:val="30"/>
          <w14:textFill>
            <w14:solidFill>
              <w14:schemeClr w14:val="tx1"/>
            </w14:solidFill>
          </w14:textFill>
        </w:rPr>
        <w:t>2.主持国家级职业教育专业教学资源库立项项目且应用效果好；</w:t>
      </w:r>
    </w:p>
    <w:p>
      <w:pPr>
        <w:pStyle w:val="3"/>
        <w:shd w:val="clear" w:color="auto" w:fill="FFFFFF"/>
        <w:spacing w:before="0" w:beforeAutospacing="0" w:after="0" w:afterAutospacing="0" w:line="360" w:lineRule="auto"/>
        <w:ind w:firstLine="600" w:firstLineChars="200"/>
        <w:rPr>
          <w:rFonts w:hint="eastAsia" w:ascii="仿宋" w:hAnsi="仿宋" w:eastAsia="仿宋"/>
          <w:color w:val="000000" w:themeColor="text1"/>
          <w:sz w:val="30"/>
          <w:szCs w:val="30"/>
          <w14:textFill>
            <w14:solidFill>
              <w14:schemeClr w14:val="tx1"/>
            </w14:solidFill>
          </w14:textFill>
        </w:rPr>
      </w:pPr>
      <w:r>
        <w:rPr>
          <w:rFonts w:hint="eastAsia" w:ascii="仿宋" w:hAnsi="仿宋" w:eastAsia="仿宋"/>
          <w:color w:val="000000" w:themeColor="text1"/>
          <w:sz w:val="30"/>
          <w:szCs w:val="30"/>
          <w14:textFill>
            <w14:solidFill>
              <w14:schemeClr w14:val="tx1"/>
            </w14:solidFill>
          </w14:textFill>
        </w:rPr>
        <w:t>3.承担国家级教育教学改革试点且成效明显（仅包括现代学徒制试点、“三全育人”综合改革试点、教学工作诊断与改进工作试点、定向培养士官试点）；</w:t>
      </w:r>
    </w:p>
    <w:p>
      <w:pPr>
        <w:pStyle w:val="3"/>
        <w:shd w:val="clear" w:color="auto" w:fill="FFFFFF"/>
        <w:spacing w:before="0" w:beforeAutospacing="0" w:after="0" w:afterAutospacing="0" w:line="360" w:lineRule="auto"/>
        <w:ind w:firstLine="600" w:firstLineChars="200"/>
        <w:rPr>
          <w:rFonts w:hint="eastAsia" w:ascii="仿宋" w:hAnsi="仿宋" w:eastAsia="仿宋"/>
          <w:color w:val="000000" w:themeColor="text1"/>
          <w:sz w:val="30"/>
          <w:szCs w:val="30"/>
          <w14:textFill>
            <w14:solidFill>
              <w14:schemeClr w14:val="tx1"/>
            </w14:solidFill>
          </w14:textFill>
        </w:rPr>
      </w:pPr>
      <w:r>
        <w:rPr>
          <w:rFonts w:hint="eastAsia" w:ascii="仿宋" w:hAnsi="仿宋" w:eastAsia="仿宋"/>
          <w:color w:val="000000" w:themeColor="text1"/>
          <w:sz w:val="30"/>
          <w:szCs w:val="30"/>
          <w14:textFill>
            <w14:solidFill>
              <w14:schemeClr w14:val="tx1"/>
            </w14:solidFill>
          </w14:textFill>
        </w:rPr>
        <w:t>4.有国家级重点专业（仅包括国家示范、骨干高职学校支持的重点专业）；</w:t>
      </w:r>
    </w:p>
    <w:p>
      <w:pPr>
        <w:pStyle w:val="3"/>
        <w:shd w:val="clear" w:color="auto" w:fill="FFFFFF"/>
        <w:spacing w:before="0" w:beforeAutospacing="0" w:after="0" w:afterAutospacing="0" w:line="360" w:lineRule="auto"/>
        <w:ind w:firstLine="600" w:firstLineChars="200"/>
        <w:rPr>
          <w:rFonts w:hint="eastAsia" w:ascii="仿宋" w:hAnsi="仿宋" w:eastAsia="仿宋"/>
          <w:color w:val="000000" w:themeColor="text1"/>
          <w:sz w:val="30"/>
          <w:szCs w:val="30"/>
          <w14:textFill>
            <w14:solidFill>
              <w14:schemeClr w14:val="tx1"/>
            </w14:solidFill>
          </w14:textFill>
        </w:rPr>
      </w:pPr>
      <w:r>
        <w:rPr>
          <w:rFonts w:hint="eastAsia" w:ascii="仿宋" w:hAnsi="仿宋" w:eastAsia="仿宋"/>
          <w:color w:val="000000" w:themeColor="text1"/>
          <w:sz w:val="30"/>
          <w:szCs w:val="30"/>
          <w14:textFill>
            <w14:solidFill>
              <w14:schemeClr w14:val="tx1"/>
            </w14:solidFill>
          </w14:textFill>
        </w:rPr>
        <w:t>5.近五年学校就业工作被评为全国就业创业典型（仅包括全国毕业生就业典型经验高校、创新创业典型经验高校、创新创业教育改革示范高校）；</w:t>
      </w:r>
    </w:p>
    <w:p>
      <w:pPr>
        <w:pStyle w:val="3"/>
        <w:shd w:val="clear" w:color="auto" w:fill="FFFFFF"/>
        <w:spacing w:before="0" w:beforeAutospacing="0" w:after="0" w:afterAutospacing="0" w:line="360" w:lineRule="auto"/>
        <w:ind w:firstLine="600" w:firstLineChars="200"/>
        <w:rPr>
          <w:rFonts w:hint="eastAsia" w:ascii="仿宋" w:hAnsi="仿宋" w:eastAsia="仿宋"/>
          <w:color w:val="000000" w:themeColor="text1"/>
          <w:sz w:val="30"/>
          <w:szCs w:val="30"/>
          <w14:textFill>
            <w14:solidFill>
              <w14:schemeClr w14:val="tx1"/>
            </w14:solidFill>
          </w14:textFill>
        </w:rPr>
      </w:pPr>
      <w:r>
        <w:rPr>
          <w:rFonts w:hint="eastAsia" w:ascii="仿宋" w:hAnsi="仿宋" w:eastAsia="仿宋"/>
          <w:color w:val="000000" w:themeColor="text1"/>
          <w:sz w:val="30"/>
          <w:szCs w:val="30"/>
          <w14:textFill>
            <w14:solidFill>
              <w14:schemeClr w14:val="tx1"/>
            </w14:solidFill>
          </w14:textFill>
        </w:rPr>
        <w:t>6.近五年学生在国家级及以上竞赛中获得过奖励（仅包括世界技能大赛、全国职业院校技能大赛、中国“互联网+”大学生创新创业大赛、“挑战杯”全国大学生课外学术科技作品竞赛和中国大学生创业计划竞赛）；</w:t>
      </w:r>
    </w:p>
    <w:p>
      <w:pPr>
        <w:pStyle w:val="3"/>
        <w:shd w:val="clear" w:color="auto" w:fill="FFFFFF"/>
        <w:spacing w:before="0" w:beforeAutospacing="0" w:after="0" w:afterAutospacing="0" w:line="360" w:lineRule="auto"/>
        <w:ind w:firstLine="600" w:firstLineChars="200"/>
        <w:rPr>
          <w:rFonts w:hint="eastAsia" w:ascii="仿宋" w:hAnsi="仿宋" w:eastAsia="仿宋"/>
          <w:color w:val="000000" w:themeColor="text1"/>
          <w:sz w:val="30"/>
          <w:szCs w:val="30"/>
          <w14:textFill>
            <w14:solidFill>
              <w14:schemeClr w14:val="tx1"/>
            </w14:solidFill>
          </w14:textFill>
        </w:rPr>
      </w:pPr>
      <w:r>
        <w:rPr>
          <w:rFonts w:hint="eastAsia" w:ascii="仿宋" w:hAnsi="仿宋" w:eastAsia="仿宋"/>
          <w:color w:val="000000" w:themeColor="text1"/>
          <w:sz w:val="30"/>
          <w:szCs w:val="30"/>
          <w14:textFill>
            <w14:solidFill>
              <w14:schemeClr w14:val="tx1"/>
            </w14:solidFill>
          </w14:textFill>
        </w:rPr>
        <w:t>7.教师获得过国家级奖励（仅包括“万人计划”教学名师、全国高校黄大年式团队、全国职业院校教学能力比赛获奖）；</w:t>
      </w:r>
    </w:p>
    <w:p>
      <w:pPr>
        <w:pStyle w:val="3"/>
        <w:shd w:val="clear" w:color="auto" w:fill="FFFFFF"/>
        <w:spacing w:before="0" w:beforeAutospacing="0" w:after="0" w:afterAutospacing="0" w:line="360" w:lineRule="auto"/>
        <w:ind w:firstLine="600" w:firstLineChars="200"/>
        <w:rPr>
          <w:rFonts w:hint="eastAsia" w:ascii="仿宋" w:hAnsi="仿宋" w:eastAsia="仿宋"/>
          <w:color w:val="000000" w:themeColor="text1"/>
          <w:sz w:val="30"/>
          <w:szCs w:val="30"/>
          <w14:textFill>
            <w14:solidFill>
              <w14:schemeClr w14:val="tx1"/>
            </w14:solidFill>
          </w14:textFill>
        </w:rPr>
      </w:pPr>
      <w:r>
        <w:rPr>
          <w:rFonts w:hint="eastAsia" w:ascii="仿宋" w:hAnsi="仿宋" w:eastAsia="仿宋"/>
          <w:color w:val="000000" w:themeColor="text1"/>
          <w:sz w:val="30"/>
          <w:szCs w:val="30"/>
          <w14:textFill>
            <w14:solidFill>
              <w14:schemeClr w14:val="tx1"/>
            </w14:solidFill>
          </w14:textFill>
        </w:rPr>
        <w:t>8.建立校级竞赛制度，近五年承办过全国职业院校技能大赛；</w:t>
      </w:r>
    </w:p>
    <w:p>
      <w:pPr>
        <w:pStyle w:val="3"/>
        <w:shd w:val="clear" w:color="auto" w:fill="FFFFFF"/>
        <w:spacing w:before="0" w:beforeAutospacing="0" w:after="0" w:afterAutospacing="0" w:line="360" w:lineRule="auto"/>
        <w:ind w:firstLine="600" w:firstLineChars="200"/>
        <w:rPr>
          <w:rFonts w:hint="eastAsia" w:ascii="仿宋" w:hAnsi="仿宋" w:eastAsia="仿宋"/>
          <w:color w:val="000000" w:themeColor="text1"/>
          <w:sz w:val="30"/>
          <w:szCs w:val="30"/>
          <w14:textFill>
            <w14:solidFill>
              <w14:schemeClr w14:val="tx1"/>
            </w14:solidFill>
          </w14:textFill>
        </w:rPr>
      </w:pPr>
      <w:r>
        <w:rPr>
          <w:rFonts w:hint="eastAsia" w:ascii="仿宋" w:hAnsi="仿宋" w:eastAsia="仿宋"/>
          <w:color w:val="000000" w:themeColor="text1"/>
          <w:sz w:val="30"/>
          <w:szCs w:val="30"/>
          <w14:textFill>
            <w14:solidFill>
              <w14:schemeClr w14:val="tx1"/>
            </w14:solidFill>
          </w14:textFill>
        </w:rPr>
        <w:t>9.建立校级质量年报制度，近五年连续发布《高等职业院校质量年度报告》且未有负面行为被通报。</w:t>
      </w:r>
    </w:p>
    <w:p>
      <w:pPr>
        <w:pStyle w:val="3"/>
        <w:shd w:val="clear" w:color="auto" w:fill="FFFFFF"/>
        <w:spacing w:before="0" w:beforeAutospacing="0" w:after="0" w:afterAutospacing="0" w:line="360" w:lineRule="auto"/>
        <w:ind w:firstLine="600" w:firstLineChars="200"/>
        <w:rPr>
          <w:rFonts w:hint="eastAsia" w:ascii="仿宋" w:hAnsi="仿宋" w:eastAsia="仿宋"/>
          <w:color w:val="000000" w:themeColor="text1"/>
          <w:sz w:val="30"/>
          <w:szCs w:val="30"/>
          <w14:textFill>
            <w14:solidFill>
              <w14:schemeClr w14:val="tx1"/>
            </w14:solidFill>
          </w14:textFill>
        </w:rPr>
      </w:pPr>
      <w:r>
        <w:rPr>
          <w:rFonts w:hint="eastAsia" w:ascii="仿宋" w:hAnsi="仿宋" w:eastAsia="仿宋"/>
          <w:color w:val="000000" w:themeColor="text1"/>
          <w:sz w:val="30"/>
          <w:szCs w:val="30"/>
          <w14:textFill>
            <w14:solidFill>
              <w14:schemeClr w14:val="tx1"/>
            </w14:solidFill>
          </w14:textFill>
        </w:rPr>
        <w:t>在满足以上条件的基础上，学校近五年在招生、财务、实习、学生管理等方面未出现过重大违纪违规行为。学校未列入本省升本规划。</w:t>
      </w:r>
    </w:p>
    <w:p>
      <w:pPr>
        <w:pStyle w:val="3"/>
        <w:shd w:val="clear" w:color="auto" w:fill="FFFFFF"/>
        <w:spacing w:before="0" w:beforeAutospacing="0" w:after="0" w:afterAutospacing="0" w:line="360" w:lineRule="auto"/>
        <w:ind w:firstLine="602" w:firstLineChars="200"/>
        <w:rPr>
          <w:rFonts w:hint="eastAsia" w:ascii="黑体" w:hAnsi="黑体" w:eastAsia="黑体"/>
          <w:b/>
          <w:bCs/>
          <w:color w:val="000000" w:themeColor="text1"/>
          <w:sz w:val="30"/>
          <w:szCs w:val="30"/>
          <w14:textFill>
            <w14:solidFill>
              <w14:schemeClr w14:val="tx1"/>
            </w14:solidFill>
          </w14:textFill>
        </w:rPr>
      </w:pPr>
      <w:r>
        <w:rPr>
          <w:rFonts w:hint="eastAsia" w:ascii="黑体" w:hAnsi="黑体" w:eastAsia="黑体"/>
          <w:b/>
          <w:bCs/>
          <w:color w:val="000000" w:themeColor="text1"/>
          <w:sz w:val="30"/>
          <w:szCs w:val="30"/>
          <w14:textFill>
            <w14:solidFill>
              <w14:schemeClr w14:val="tx1"/>
            </w14:solidFill>
          </w14:textFill>
        </w:rPr>
        <w:t>二、专业群须具备的基本条件</w:t>
      </w:r>
    </w:p>
    <w:p>
      <w:pPr>
        <w:pStyle w:val="3"/>
        <w:shd w:val="clear" w:color="auto" w:fill="FFFFFF"/>
        <w:spacing w:before="0" w:beforeAutospacing="0" w:after="0" w:afterAutospacing="0" w:line="360" w:lineRule="auto"/>
        <w:ind w:firstLine="600"/>
        <w:rPr>
          <w:rFonts w:ascii="仿宋" w:hAnsi="仿宋" w:eastAsia="仿宋"/>
          <w:color w:val="000000" w:themeColor="text1"/>
          <w:sz w:val="30"/>
          <w:szCs w:val="30"/>
          <w14:textFill>
            <w14:solidFill>
              <w14:schemeClr w14:val="tx1"/>
            </w14:solidFill>
          </w14:textFill>
        </w:rPr>
      </w:pPr>
      <w:r>
        <w:rPr>
          <w:rFonts w:hint="eastAsia" w:ascii="楷体" w:hAnsi="楷体" w:eastAsia="楷体"/>
          <w:color w:val="000000" w:themeColor="text1"/>
          <w:sz w:val="30"/>
          <w:szCs w:val="30"/>
          <w14:textFill>
            <w14:solidFill>
              <w14:schemeClr w14:val="tx1"/>
            </w14:solidFill>
          </w14:textFill>
        </w:rPr>
        <w:t>（一）专业群定位准确，对接国家和区域主导产业、支柱产业和战略性新兴产业重点领域。</w:t>
      </w:r>
    </w:p>
    <w:p>
      <w:pPr>
        <w:pStyle w:val="3"/>
        <w:shd w:val="clear" w:color="auto" w:fill="FFFFFF"/>
        <w:spacing w:before="0" w:beforeAutospacing="0" w:after="0" w:afterAutospacing="0" w:line="360" w:lineRule="auto"/>
        <w:ind w:firstLine="600"/>
        <w:rPr>
          <w:rFonts w:hint="eastAsia" w:ascii="仿宋" w:hAnsi="仿宋" w:eastAsia="仿宋"/>
          <w:color w:val="000000" w:themeColor="text1"/>
          <w:sz w:val="30"/>
          <w:szCs w:val="30"/>
          <w14:textFill>
            <w14:solidFill>
              <w14:schemeClr w14:val="tx1"/>
            </w14:solidFill>
          </w14:textFill>
        </w:rPr>
      </w:pPr>
      <w:r>
        <w:rPr>
          <w:rFonts w:hint="eastAsia" w:ascii="仿宋" w:hAnsi="仿宋" w:eastAsia="仿宋"/>
          <w:color w:val="000000" w:themeColor="text1"/>
          <w:sz w:val="30"/>
          <w:szCs w:val="30"/>
          <w14:textFill>
            <w14:solidFill>
              <w14:schemeClr w14:val="tx1"/>
            </w14:solidFill>
          </w14:textFill>
        </w:rPr>
        <w:t>专业群组建逻辑清晰，群内专业教学资源共享度、就业相关度较高，形成优势互补、协同发展的建设机制。专业特色鲜明，行业优势明显，有较强社会影响力。</w:t>
      </w:r>
    </w:p>
    <w:p>
      <w:pPr>
        <w:pStyle w:val="3"/>
        <w:shd w:val="clear" w:color="auto" w:fill="FFFFFF"/>
        <w:spacing w:before="0" w:beforeAutospacing="0" w:after="0" w:afterAutospacing="0" w:line="360" w:lineRule="auto"/>
        <w:ind w:firstLine="600"/>
        <w:rPr>
          <w:rFonts w:ascii="仿宋" w:hAnsi="仿宋" w:eastAsia="仿宋"/>
          <w:color w:val="000000" w:themeColor="text1"/>
          <w:sz w:val="30"/>
          <w:szCs w:val="30"/>
          <w14:textFill>
            <w14:solidFill>
              <w14:schemeClr w14:val="tx1"/>
            </w14:solidFill>
          </w14:textFill>
        </w:rPr>
      </w:pPr>
      <w:r>
        <w:rPr>
          <w:rFonts w:hint="eastAsia" w:ascii="仿宋" w:hAnsi="仿宋" w:eastAsia="仿宋"/>
          <w:color w:val="000000" w:themeColor="text1"/>
          <w:sz w:val="30"/>
          <w:szCs w:val="30"/>
          <w14:textFill>
            <w14:solidFill>
              <w14:schemeClr w14:val="tx1"/>
            </w14:solidFill>
          </w14:textFill>
        </w:rPr>
        <w:t>（二）专业群有高水平专业带头人和教学创新团队，校外兼职教师素质优良。</w:t>
      </w:r>
    </w:p>
    <w:p>
      <w:pPr>
        <w:pStyle w:val="3"/>
        <w:shd w:val="clear" w:color="auto" w:fill="FFFFFF"/>
        <w:spacing w:before="0" w:beforeAutospacing="0" w:after="0" w:afterAutospacing="0" w:line="360" w:lineRule="auto"/>
        <w:ind w:firstLine="600"/>
        <w:rPr>
          <w:rFonts w:hint="eastAsia" w:ascii="仿宋" w:hAnsi="仿宋" w:eastAsia="仿宋"/>
          <w:color w:val="000000" w:themeColor="text1"/>
          <w:sz w:val="30"/>
          <w:szCs w:val="30"/>
          <w14:textFill>
            <w14:solidFill>
              <w14:schemeClr w14:val="tx1"/>
            </w14:solidFill>
          </w14:textFill>
        </w:rPr>
      </w:pPr>
      <w:r>
        <w:rPr>
          <w:rFonts w:hint="eastAsia" w:ascii="仿宋" w:hAnsi="仿宋" w:eastAsia="仿宋"/>
          <w:color w:val="000000" w:themeColor="text1"/>
          <w:sz w:val="30"/>
          <w:szCs w:val="30"/>
          <w14:textFill>
            <w14:solidFill>
              <w14:schemeClr w14:val="tx1"/>
            </w14:solidFill>
          </w14:textFill>
        </w:rPr>
        <w:t>实践教学基地设施先进、管理规范，基地建设与实践教学项目设计相适应、相配套。校企共同设计科学规范的专业群课程体系，反映行业领域的新技术、新工艺、新规范，信息技术深度融入教育教学，线上线下课程资源丰富。</w:t>
      </w:r>
    </w:p>
    <w:p>
      <w:pPr>
        <w:pStyle w:val="3"/>
        <w:shd w:val="clear" w:color="auto" w:fill="FFFFFF"/>
        <w:spacing w:before="0" w:beforeAutospacing="0" w:after="0" w:afterAutospacing="0" w:line="360" w:lineRule="auto"/>
        <w:ind w:firstLine="600"/>
        <w:rPr>
          <w:rFonts w:ascii="仿宋" w:hAnsi="仿宋" w:eastAsia="仿宋"/>
          <w:color w:val="000000" w:themeColor="text1"/>
          <w:sz w:val="30"/>
          <w:szCs w:val="30"/>
          <w14:textFill>
            <w14:solidFill>
              <w14:schemeClr w14:val="tx1"/>
            </w14:solidFill>
          </w14:textFill>
        </w:rPr>
      </w:pPr>
      <w:r>
        <w:rPr>
          <w:rFonts w:hint="eastAsia" w:ascii="仿宋" w:hAnsi="仿宋" w:eastAsia="仿宋"/>
          <w:color w:val="000000" w:themeColor="text1"/>
          <w:sz w:val="30"/>
          <w:szCs w:val="30"/>
          <w14:textFill>
            <w14:solidFill>
              <w14:schemeClr w14:val="tx1"/>
            </w14:solidFill>
          </w14:textFill>
        </w:rPr>
        <w:t>（三）专业群生源质量好，保持一定办学规模。</w:t>
      </w:r>
    </w:p>
    <w:p>
      <w:pPr>
        <w:pStyle w:val="3"/>
        <w:shd w:val="clear" w:color="auto" w:fill="FFFFFF"/>
        <w:spacing w:before="0" w:beforeAutospacing="0" w:after="0" w:afterAutospacing="0" w:line="360" w:lineRule="auto"/>
        <w:ind w:firstLine="600"/>
        <w:rPr>
          <w:rFonts w:hint="eastAsia" w:ascii="仿宋" w:hAnsi="仿宋" w:eastAsia="仿宋"/>
          <w:color w:val="000000" w:themeColor="text1"/>
          <w:sz w:val="30"/>
          <w:szCs w:val="30"/>
          <w14:textFill>
            <w14:solidFill>
              <w14:schemeClr w14:val="tx1"/>
            </w14:solidFill>
          </w14:textFill>
        </w:rPr>
      </w:pPr>
      <w:r>
        <w:rPr>
          <w:rFonts w:hint="eastAsia" w:ascii="仿宋" w:hAnsi="仿宋" w:eastAsia="仿宋"/>
          <w:color w:val="000000" w:themeColor="text1"/>
          <w:sz w:val="30"/>
          <w:szCs w:val="30"/>
          <w14:textFill>
            <w14:solidFill>
              <w14:schemeClr w14:val="tx1"/>
            </w14:solidFill>
          </w14:textFill>
        </w:rPr>
        <w:t>建立毕业生就业跟踪调查机制，学生就业对口率、用人单位满意度、学生就业满意度高。与行业企业深入合作开展科技研发应用，科研项目、专利数量多。</w:t>
      </w:r>
    </w:p>
    <w:p>
      <w:pPr>
        <w:rPr>
          <w:color w:val="000000" w:themeColor="text1"/>
          <w14:textFill>
            <w14:solidFill>
              <w14:schemeClr w14:val="tx1"/>
            </w14:solidFill>
          </w14:textFill>
        </w:rPr>
      </w:pPr>
    </w:p>
    <w:sectPr>
      <w:type w:val="continuous"/>
      <w:pgSz w:w="11906" w:h="16838"/>
      <w:pgMar w:top="1089" w:right="1469" w:bottom="777" w:left="1259"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153"/>
    <w:rsid w:val="001F4153"/>
    <w:rsid w:val="005D0F81"/>
    <w:rsid w:val="00B4740F"/>
    <w:rsid w:val="00DD69AA"/>
    <w:rsid w:val="44013F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6"/>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5">
    <w:name w:val="Default Paragraph Font"/>
    <w:semiHidden/>
    <w:unhideWhenUsed/>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paragraph" w:styleId="3">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6">
    <w:name w:val="标题 1 字符"/>
    <w:basedOn w:val="5"/>
    <w:link w:val="2"/>
    <w:qFormat/>
    <w:uiPriority w:val="9"/>
    <w:rPr>
      <w:rFonts w:ascii="宋体" w:hAnsi="宋体" w:eastAsia="宋体" w:cs="宋体"/>
      <w:b/>
      <w:bCs/>
      <w:kern w:val="36"/>
      <w:sz w:val="48"/>
      <w:szCs w:val="4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229</Words>
  <Characters>1308</Characters>
  <Lines>10</Lines>
  <Paragraphs>3</Paragraphs>
  <TotalTime>8</TotalTime>
  <ScaleCrop>false</ScaleCrop>
  <LinksUpToDate>false</LinksUpToDate>
  <CharactersWithSpaces>1534</CharactersWithSpaces>
  <Application>WPS Office_11.3.0.8775_F1E327BC-269C-435d-A152-05C5408002CA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2020-04-26T15:11:00Z</dcterms:created>
  <dc:creator> </dc:creator>
  <cp:lastModifiedBy>空气</cp:lastModifiedBy>
  <dcterms:modified xsi:type="dcterms:W3CDTF">2020-05-07T02:26:23Z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2052-11.3.0.8775</vt:lpwstr>
  </property>
</Properties>
</file>